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64"/>
        <w:jc w:val="center"/>
      </w:pPr>
      <w:r>
        <w:rPr>
          <w:rFonts w:ascii="Times New Roman" w:cs="Times New Roman" w:eastAsia="Times New Roman" w:hAnsi="Times New Roman"/>
          <w:b/>
          <w:bCs/>
          <w:sz w:val="28"/>
          <w:szCs w:val="28"/>
        </w:rPr>
        <w:t xml:space="preserve">Case Study Presentation — Submission Form</w:t>
      </w:r>
    </w:p>
    <w:p>
      <w:pPr>
        <w:pBdr>
          <w:bottom w:val="single" w:color="000000" w:sz="6" w:space="6"/>
        </w:pBdr>
        <w:spacing w:after="180" w:line="264"/>
        <w:jc w:val="center"/>
      </w:pPr>
      <w:r>
        <w:rPr>
          <w:rFonts w:ascii="Times New Roman" w:cs="Times New Roman" w:eastAsia="Times New Roman" w:hAnsi="Times New Roman"/>
          <w:sz w:val="22"/>
          <w:szCs w:val="22"/>
        </w:rPr>
        <w:t xml:space="preserve">案例研究发表申请表</w:t>
      </w:r>
    </w:p>
    <w:p>
      <w:pPr>
        <w:spacing w:after="140" w:line="264"/>
      </w:pPr>
      <w:r>
        <w:rPr>
          <w:rFonts w:ascii="Times New Roman" w:cs="Times New Roman" w:eastAsia="Times New Roman" w:hAnsi="Times New Roman"/>
          <w:i/>
          <w:iCs/>
          <w:color w:val="808080"/>
          <w:sz w:val="19"/>
          <w:szCs w:val="19"/>
        </w:rPr>
        <w:t xml:space="preserve">Fill in each section below. Guidance and examples are in grey — please delete them before submitting.  请填写以下各部分。灰色为撰写指南与示例，提交前请删除。</w:t>
      </w:r>
    </w:p>
    <w:p>
      <w:pPr>
        <w:spacing w:after="60" w:before="180" w:line="264"/>
      </w:pPr>
      <w:r>
        <w:rPr>
          <w:rFonts w:ascii="Times New Roman" w:cs="Times New Roman" w:eastAsia="Times New Roman" w:hAnsi="Times New Roman"/>
          <w:b/>
          <w:bCs/>
          <w:sz w:val="24"/>
          <w:szCs w:val="24"/>
        </w:rPr>
        <w:t xml:space="preserve">Applicant &amp; Contact Details  申请人及联系方式</w:t>
      </w:r>
    </w:p>
    <w:p>
      <w:pPr>
        <w:spacing w:after="60" w:before="180" w:line="264"/>
      </w:pPr>
      <w:r>
        <w:rPr>
          <w:rFonts w:ascii="Times New Roman" w:cs="Times New Roman" w:eastAsia="Times New Roman" w:hAnsi="Times New Roman"/>
          <w:b/>
          <w:bCs/>
          <w:sz w:val="24"/>
          <w:szCs w:val="24"/>
        </w:rPr>
        <w:t xml:space="preserve">Title  标题</w:t>
      </w:r>
    </w:p>
    <w:p>
      <w:pPr>
        <w:spacing w:after="60" w:before="180" w:line="264"/>
      </w:pPr>
      <w:r>
        <w:rPr>
          <w:rFonts w:ascii="Times New Roman" w:cs="Times New Roman" w:eastAsia="Times New Roman" w:hAnsi="Times New Roman"/>
          <w:b/>
          <w:bCs/>
          <w:sz w:val="24"/>
          <w:szCs w:val="24"/>
        </w:rPr>
        <w:t xml:space="preserve">1. Background  背景</w:t>
      </w:r>
    </w:p>
    <w:p>
      <w:pPr>
        <w:spacing w:after="60" w:before="180" w:line="264"/>
      </w:pPr>
      <w:r>
        <w:rPr>
          <w:rFonts w:ascii="Times New Roman" w:cs="Times New Roman" w:eastAsia="Times New Roman" w:hAnsi="Times New Roman"/>
          <w:b/>
          <w:bCs/>
          <w:sz w:val="24"/>
          <w:szCs w:val="24"/>
        </w:rPr>
        <w:t xml:space="preserve">2. Strategy &amp; Implementation  战略与实施</w:t>
      </w:r>
    </w:p>
    <w:p>
      <w:pPr>
        <w:spacing w:after="60" w:before="180" w:line="264"/>
      </w:pPr>
      <w:r>
        <w:rPr>
          <w:rFonts w:ascii="Times New Roman" w:cs="Times New Roman" w:eastAsia="Times New Roman" w:hAnsi="Times New Roman"/>
          <w:b/>
          <w:bCs/>
          <w:sz w:val="24"/>
          <w:szCs w:val="24"/>
        </w:rPr>
        <w:t xml:space="preserve">3. Results &amp; Impact  成果与影响</w:t>
      </w:r>
    </w:p>
    <w:p>
      <w:pPr>
        <w:spacing w:after="60" w:before="180" w:line="264"/>
      </w:pPr>
      <w:r>
        <w:rPr>
          <w:rFonts w:ascii="Times New Roman" w:cs="Times New Roman" w:eastAsia="Times New Roman" w:hAnsi="Times New Roman"/>
          <w:b/>
          <w:bCs/>
          <w:sz w:val="24"/>
          <w:szCs w:val="24"/>
        </w:rPr>
        <w:t xml:space="preserve">4. Insights &amp; Future Direction  启示与未来方向</w:t>
      </w:r>
    </w:p>
    <w:p>
      <w:r>
        <w:br w:type="page"/>
      </w:r>
    </w:p>
    <w:p>
      <w:pPr>
        <w:spacing w:after="30" w:line="264"/>
        <w:jc w:val="center"/>
      </w:pPr>
      <w:r>
        <w:rPr>
          <w:rFonts w:ascii="Times New Roman" w:cs="Times New Roman" w:eastAsia="Times New Roman" w:hAnsi="Times New Roman"/>
          <w:b/>
          <w:bCs/>
          <w:sz w:val="26"/>
          <w:szCs w:val="26"/>
        </w:rPr>
        <w:t xml:space="preserve">Case Study Presentation — Submission Form</w:t>
      </w:r>
    </w:p>
    <w:p>
      <w:pPr>
        <w:pBdr>
          <w:bottom w:val="single" w:color="000000" w:sz="6" w:space="6"/>
        </w:pBdr>
        <w:spacing w:after="150" w:line="264"/>
        <w:jc w:val="center"/>
      </w:pPr>
      <w:r>
        <w:rPr>
          <w:rFonts w:ascii="Times New Roman" w:cs="Times New Roman" w:eastAsia="Times New Roman" w:hAnsi="Times New Roman"/>
          <w:i/>
          <w:iCs/>
          <w:color w:val="595959"/>
          <w:sz w:val="18"/>
          <w:szCs w:val="18"/>
        </w:rPr>
        <w:t xml:space="preserve">Sample submission (English) · fictional example</w:t>
      </w:r>
    </w:p>
    <w:p>
      <w:pPr>
        <w:spacing w:after="40" w:before="150" w:line="264"/>
      </w:pPr>
      <w:r>
        <w:rPr>
          <w:rFonts w:ascii="Times New Roman" w:cs="Times New Roman" w:eastAsia="Times New Roman" w:hAnsi="Times New Roman"/>
          <w:b/>
          <w:bCs/>
          <w:sz w:val="22"/>
          <w:szCs w:val="22"/>
        </w:rPr>
        <w:t xml:space="preserve">Applicant &amp; Contact Details</w:t>
      </w:r>
    </w:p>
    <w:p>
      <w:pPr>
        <w:spacing w:after="20" w:before="0" w:line="264"/>
      </w:pPr>
      <w:r>
        <w:rPr>
          <w:rFonts w:ascii="Times New Roman" w:cs="Times New Roman" w:eastAsia="Times New Roman" w:hAnsi="Times New Roman"/>
          <w:sz w:val="20"/>
          <w:szCs w:val="20"/>
        </w:rPr>
        <w:t xml:space="preserve">Presenter name:  Elena Marquez</w:t>
      </w:r>
    </w:p>
    <w:p>
      <w:pPr>
        <w:spacing w:after="20" w:before="0" w:line="264"/>
      </w:pPr>
      <w:r>
        <w:rPr>
          <w:rFonts w:ascii="Times New Roman" w:cs="Times New Roman" w:eastAsia="Times New Roman" w:hAnsi="Times New Roman"/>
          <w:sz w:val="20"/>
          <w:szCs w:val="20"/>
        </w:rPr>
        <w:t xml:space="preserve">Organization:  Verdant Grocers Ltd.</w:t>
      </w:r>
    </w:p>
    <w:p>
      <w:pPr>
        <w:spacing w:after="20" w:before="0" w:line="264"/>
      </w:pPr>
      <w:r>
        <w:rPr>
          <w:rFonts w:ascii="Times New Roman" w:cs="Times New Roman" w:eastAsia="Times New Roman" w:hAnsi="Times New Roman"/>
          <w:sz w:val="20"/>
          <w:szCs w:val="20"/>
        </w:rPr>
        <w:t xml:space="preserve">Position / Title:  Head of Operations</w:t>
      </w:r>
    </w:p>
    <w:p>
      <w:pPr>
        <w:spacing w:after="20" w:before="0" w:line="264"/>
      </w:pPr>
      <w:r>
        <w:rPr>
          <w:rFonts w:ascii="Times New Roman" w:cs="Times New Roman" w:eastAsia="Times New Roman" w:hAnsi="Times New Roman"/>
          <w:sz w:val="20"/>
          <w:szCs w:val="20"/>
        </w:rPr>
        <w:t xml:space="preserve">Email:  elena.marquez@verdantgrocers.example</w:t>
      </w:r>
    </w:p>
    <w:p>
      <w:pPr>
        <w:spacing w:after="20" w:before="0" w:line="264"/>
      </w:pPr>
      <w:r>
        <w:rPr>
          <w:rFonts w:ascii="Times New Roman" w:cs="Times New Roman" w:eastAsia="Times New Roman" w:hAnsi="Times New Roman"/>
          <w:sz w:val="20"/>
          <w:szCs w:val="20"/>
        </w:rPr>
        <w:t xml:space="preserve">Phone / Mobile:  +34 612 345 678</w:t>
      </w:r>
    </w:p>
    <w:p>
      <w:pPr>
        <w:spacing w:after="20" w:before="0" w:line="264"/>
      </w:pPr>
      <w:r>
        <w:rPr>
          <w:rFonts w:ascii="Times New Roman" w:cs="Times New Roman" w:eastAsia="Times New Roman" w:hAnsi="Times New Roman"/>
          <w:sz w:val="20"/>
          <w:szCs w:val="20"/>
        </w:rPr>
        <w:t xml:space="preserve">Country / City:  Spain / Valencia</w:t>
      </w:r>
    </w:p>
    <w:p>
      <w:pPr>
        <w:spacing w:after="40" w:before="150" w:line="264"/>
      </w:pPr>
      <w:r>
        <w:rPr>
          <w:rFonts w:ascii="Times New Roman" w:cs="Times New Roman" w:eastAsia="Times New Roman" w:hAnsi="Times New Roman"/>
          <w:b/>
          <w:bCs/>
          <w:sz w:val="22"/>
          <w:szCs w:val="22"/>
        </w:rPr>
        <w:t xml:space="preserve">Title</w:t>
      </w:r>
    </w:p>
    <w:p>
      <w:pPr>
        <w:spacing w:after="30" w:before="0" w:line="276"/>
      </w:pPr>
      <w:r>
        <w:rPr>
          <w:rFonts w:ascii="Times New Roman" w:cs="Times New Roman" w:eastAsia="Times New Roman" w:hAnsi="Times New Roman"/>
          <w:sz w:val="21"/>
          <w:szCs w:val="21"/>
        </w:rPr>
        <w:t xml:space="preserve">Rethinking Retail: How Verdant Grocers Grew Through Digital Reinvention</w:t>
      </w:r>
    </w:p>
    <w:p>
      <w:pPr>
        <w:spacing w:after="40" w:before="150" w:line="264"/>
      </w:pPr>
      <w:r>
        <w:rPr>
          <w:rFonts w:ascii="Times New Roman" w:cs="Times New Roman" w:eastAsia="Times New Roman" w:hAnsi="Times New Roman"/>
          <w:b/>
          <w:bCs/>
          <w:sz w:val="22"/>
          <w:szCs w:val="22"/>
        </w:rPr>
        <w:t xml:space="preserve">1. Background</w:t>
      </w:r>
    </w:p>
    <w:p>
      <w:pPr>
        <w:spacing w:after="40" w:before="0" w:line="282"/>
        <w:jc w:val="both"/>
      </w:pPr>
      <w:r>
        <w:rPr>
          <w:rFonts w:ascii="Times New Roman" w:cs="Times New Roman" w:eastAsia="Times New Roman" w:hAnsi="Times New Roman"/>
          <w:sz w:val="21"/>
          <w:szCs w:val="21"/>
        </w:rPr>
        <w:t xml:space="preserve">Founded in 2009, Verdant Grocers Ltd. runs eight neighborhood stores across Valencia, focusing on fresh local produce. As large delivery platforms and discount chains expanded after 2021, foot traffic declined and margins tightened. Long-time customers increasingly shopped online, while the company lacked any digital channel of its own. This pressure made a shift toward an integrated online-and-offline model essential to remain relevant and financially sustainable.</w:t>
      </w:r>
    </w:p>
    <w:p>
      <w:pPr>
        <w:spacing w:after="40" w:before="150" w:line="264"/>
      </w:pPr>
      <w:r>
        <w:rPr>
          <w:rFonts w:ascii="Times New Roman" w:cs="Times New Roman" w:eastAsia="Times New Roman" w:hAnsi="Times New Roman"/>
          <w:b/>
          <w:bCs/>
          <w:sz w:val="22"/>
          <w:szCs w:val="22"/>
        </w:rPr>
        <w:t xml:space="preserve">2. Strategy &amp; Implementation</w:t>
      </w:r>
    </w:p>
    <w:p>
      <w:pPr>
        <w:spacing w:after="40" w:before="0" w:line="282"/>
        <w:jc w:val="both"/>
      </w:pPr>
      <w:r>
        <w:rPr>
          <w:rFonts w:ascii="Times New Roman" w:cs="Times New Roman" w:eastAsia="Times New Roman" w:hAnsi="Times New Roman"/>
          <w:sz w:val="21"/>
          <w:szCs w:val="21"/>
        </w:rPr>
        <w:t xml:space="preserve">Verdant pursued change across three areas. In sales channels, it launched a same-day delivery app and click-and-collect service, integrating store inventory in real time. In operations, it introduced a shared central warehouse and demand-forecasting tools to cut waste on perishable goods. To rebuild customer loyalty, it created a membership program with personalized offers and hosted monthly in-store tasting events featuring local farmers, strengthening its identity as a community-rooted grocer rather than a faceless chain.</w:t>
      </w:r>
    </w:p>
    <w:p>
      <w:pPr>
        <w:spacing w:after="40" w:before="150" w:line="264"/>
      </w:pPr>
      <w:r>
        <w:rPr>
          <w:rFonts w:ascii="Times New Roman" w:cs="Times New Roman" w:eastAsia="Times New Roman" w:hAnsi="Times New Roman"/>
          <w:b/>
          <w:bCs/>
          <w:sz w:val="22"/>
          <w:szCs w:val="22"/>
        </w:rPr>
        <w:t xml:space="preserve">3. Results &amp; Impact</w:t>
      </w:r>
    </w:p>
    <w:p>
      <w:pPr>
        <w:spacing w:after="40" w:before="0" w:line="282"/>
        <w:jc w:val="both"/>
      </w:pPr>
      <w:r>
        <w:rPr>
          <w:rFonts w:ascii="Times New Roman" w:cs="Times New Roman" w:eastAsia="Times New Roman" w:hAnsi="Times New Roman"/>
          <w:sz w:val="21"/>
          <w:szCs w:val="21"/>
        </w:rPr>
        <w:t xml:space="preserve">Within eighteen months, total revenue rose 32%, with online orders reaching 28% of sales. Food waste fell 22% thanks to better forecasting, and average customer spend increased 17%. The membership program attracted 14,000 active members, and customer retention improved to 81%. All eight stores returned to profitability, and two new locations opened in response to demand.</w:t>
      </w:r>
    </w:p>
    <w:p>
      <w:pPr>
        <w:spacing w:after="40" w:before="150" w:line="264"/>
      </w:pPr>
      <w:r>
        <w:rPr>
          <w:rFonts w:ascii="Times New Roman" w:cs="Times New Roman" w:eastAsia="Times New Roman" w:hAnsi="Times New Roman"/>
          <w:b/>
          <w:bCs/>
          <w:sz w:val="22"/>
          <w:szCs w:val="22"/>
        </w:rPr>
        <w:t xml:space="preserve">4. Insights &amp; Future Direction</w:t>
      </w:r>
    </w:p>
    <w:p>
      <w:pPr>
        <w:spacing w:after="40" w:before="0" w:line="282"/>
        <w:jc w:val="both"/>
      </w:pPr>
      <w:r>
        <w:rPr>
          <w:rFonts w:ascii="Times New Roman" w:cs="Times New Roman" w:eastAsia="Times New Roman" w:hAnsi="Times New Roman"/>
          <w:sz w:val="21"/>
          <w:szCs w:val="21"/>
        </w:rPr>
        <w:t xml:space="preserve">Verdant's experience shows that small retailers can compete with large platforms by pairing digital convenience with genuine local connection. Looking ahead, the company plans to expand delivery to nearby towns, add a zero-waste refill section, and partner with regional farms to launch a private-label fresh line.</w:t>
      </w:r>
    </w:p>
    <w:p>
      <w:r>
        <w:br w:type="page"/>
      </w:r>
    </w:p>
    <w:p>
      <w:pPr>
        <w:spacing w:after="30" w:line="264"/>
        <w:jc w:val="center"/>
      </w:pPr>
      <w:r>
        <w:rPr>
          <w:rFonts w:ascii="Times New Roman" w:cs="Times New Roman" w:eastAsia="Times New Roman" w:hAnsi="Times New Roman"/>
          <w:b/>
          <w:bCs/>
          <w:sz w:val="26"/>
          <w:szCs w:val="26"/>
        </w:rPr>
        <w:t xml:space="preserve">案例研究发表申请表</w:t>
      </w:r>
    </w:p>
    <w:p>
      <w:pPr>
        <w:pBdr>
          <w:bottom w:val="single" w:color="000000" w:sz="6" w:space="6"/>
        </w:pBdr>
        <w:spacing w:after="150" w:line="264"/>
        <w:jc w:val="center"/>
      </w:pPr>
      <w:r>
        <w:rPr>
          <w:rFonts w:ascii="Times New Roman" w:cs="Times New Roman" w:eastAsia="Times New Roman" w:hAnsi="Times New Roman"/>
          <w:i/>
          <w:iCs/>
          <w:color w:val="595959"/>
          <w:sz w:val="18"/>
          <w:szCs w:val="18"/>
        </w:rPr>
        <w:t xml:space="preserve">示例（中文）· 虚拟案例</w:t>
      </w:r>
    </w:p>
    <w:p>
      <w:pPr>
        <w:spacing w:after="40" w:before="150" w:line="264"/>
      </w:pPr>
      <w:r>
        <w:rPr>
          <w:rFonts w:ascii="Times New Roman" w:cs="Times New Roman" w:eastAsia="Times New Roman" w:hAnsi="Times New Roman"/>
          <w:b/>
          <w:bCs/>
          <w:sz w:val="22"/>
          <w:szCs w:val="22"/>
        </w:rPr>
        <w:t xml:space="preserve">申请人及联系方式</w:t>
      </w:r>
    </w:p>
    <w:p>
      <w:pPr>
        <w:spacing w:after="20" w:before="0" w:line="264"/>
      </w:pPr>
      <w:r>
        <w:rPr>
          <w:rFonts w:ascii="Times New Roman" w:cs="Times New Roman" w:eastAsia="Times New Roman" w:hAnsi="Times New Roman"/>
          <w:sz w:val="20"/>
          <w:szCs w:val="20"/>
        </w:rPr>
        <w:t xml:space="preserve">发表人姓名：林晓芳</w:t>
      </w:r>
    </w:p>
    <w:p>
      <w:pPr>
        <w:spacing w:after="20" w:before="0" w:line="264"/>
      </w:pPr>
      <w:r>
        <w:rPr>
          <w:rFonts w:ascii="Times New Roman" w:cs="Times New Roman" w:eastAsia="Times New Roman" w:hAnsi="Times New Roman"/>
          <w:sz w:val="20"/>
          <w:szCs w:val="20"/>
        </w:rPr>
        <w:t xml:space="preserve">所属机构：青苗社区书店有限公司</w:t>
      </w:r>
    </w:p>
    <w:p>
      <w:pPr>
        <w:spacing w:after="20" w:before="0" w:line="264"/>
      </w:pPr>
      <w:r>
        <w:rPr>
          <w:rFonts w:ascii="Times New Roman" w:cs="Times New Roman" w:eastAsia="Times New Roman" w:hAnsi="Times New Roman"/>
          <w:sz w:val="20"/>
          <w:szCs w:val="20"/>
        </w:rPr>
        <w:t xml:space="preserve">职务／职位：运营总监</w:t>
      </w:r>
    </w:p>
    <w:p>
      <w:pPr>
        <w:spacing w:after="20" w:before="0" w:line="264"/>
      </w:pPr>
      <w:r>
        <w:rPr>
          <w:rFonts w:ascii="Times New Roman" w:cs="Times New Roman" w:eastAsia="Times New Roman" w:hAnsi="Times New Roman"/>
          <w:sz w:val="20"/>
          <w:szCs w:val="20"/>
        </w:rPr>
        <w:t xml:space="preserve">电子邮箱：lin.xiaofang@qingmiao.example</w:t>
      </w:r>
    </w:p>
    <w:p>
      <w:pPr>
        <w:spacing w:after="20" w:before="0" w:line="264"/>
      </w:pPr>
      <w:r>
        <w:rPr>
          <w:rFonts w:ascii="Times New Roman" w:cs="Times New Roman" w:eastAsia="Times New Roman" w:hAnsi="Times New Roman"/>
          <w:sz w:val="20"/>
          <w:szCs w:val="20"/>
        </w:rPr>
        <w:t xml:space="preserve">联系电话／手机：+86 138 0000 1234</w:t>
      </w:r>
    </w:p>
    <w:p>
      <w:pPr>
        <w:spacing w:after="20" w:before="0" w:line="264"/>
      </w:pPr>
      <w:r>
        <w:rPr>
          <w:rFonts w:ascii="Times New Roman" w:cs="Times New Roman" w:eastAsia="Times New Roman" w:hAnsi="Times New Roman"/>
          <w:sz w:val="20"/>
          <w:szCs w:val="20"/>
        </w:rPr>
        <w:t xml:space="preserve">国家／城市：中国／成都</w:t>
      </w:r>
    </w:p>
    <w:p>
      <w:pPr>
        <w:spacing w:after="40" w:before="150" w:line="264"/>
      </w:pPr>
      <w:r>
        <w:rPr>
          <w:rFonts w:ascii="Times New Roman" w:cs="Times New Roman" w:eastAsia="Times New Roman" w:hAnsi="Times New Roman"/>
          <w:b/>
          <w:bCs/>
          <w:sz w:val="22"/>
          <w:szCs w:val="22"/>
        </w:rPr>
        <w:t xml:space="preserve">标题</w:t>
      </w:r>
    </w:p>
    <w:p>
      <w:pPr>
        <w:spacing w:after="30" w:before="0" w:line="276"/>
      </w:pPr>
      <w:r>
        <w:rPr>
          <w:rFonts w:ascii="Times New Roman" w:cs="Times New Roman" w:eastAsia="Times New Roman" w:hAnsi="Times New Roman"/>
          <w:sz w:val="21"/>
          <w:szCs w:val="21"/>
        </w:rPr>
        <w:t xml:space="preserve">从卖书到造社区：青苗书店的空间转型之路</w:t>
      </w:r>
    </w:p>
    <w:p>
      <w:pPr>
        <w:spacing w:after="40" w:before="150" w:line="264"/>
      </w:pPr>
      <w:r>
        <w:rPr>
          <w:rFonts w:ascii="Times New Roman" w:cs="Times New Roman" w:eastAsia="Times New Roman" w:hAnsi="Times New Roman"/>
          <w:b/>
          <w:bCs/>
          <w:sz w:val="22"/>
          <w:szCs w:val="22"/>
        </w:rPr>
        <w:t xml:space="preserve">1. 背景</w:t>
      </w:r>
    </w:p>
    <w:p>
      <w:pPr>
        <w:spacing w:after="40" w:before="0" w:line="282"/>
        <w:jc w:val="both"/>
      </w:pPr>
      <w:r>
        <w:rPr>
          <w:rFonts w:ascii="Times New Roman" w:cs="Times New Roman" w:eastAsia="Times New Roman" w:hAnsi="Times New Roman"/>
          <w:sz w:val="21"/>
          <w:szCs w:val="21"/>
        </w:rPr>
        <w:t xml:space="preserve">青苗社区书店成立于2015年，在成都拥有四家门店，主营图书零售与青少年阅读活动。随着线上购书日益普及，纸质书销售逐年下滑，单纯依靠卖书的经营模式难以为继，门店客流与利润持续承压。为求生存，公司决定从“卖书”转向“经营社区文化空间”，对商业模式进行系统性重塑。</w:t>
      </w:r>
    </w:p>
    <w:p>
      <w:pPr>
        <w:spacing w:after="40" w:before="150" w:line="264"/>
      </w:pPr>
      <w:r>
        <w:rPr>
          <w:rFonts w:ascii="Times New Roman" w:cs="Times New Roman" w:eastAsia="Times New Roman" w:hAnsi="Times New Roman"/>
          <w:b/>
          <w:bCs/>
          <w:sz w:val="22"/>
          <w:szCs w:val="22"/>
        </w:rPr>
        <w:t xml:space="preserve">2. 战略与实施</w:t>
      </w:r>
    </w:p>
    <w:p>
      <w:pPr>
        <w:spacing w:after="40" w:before="0" w:line="282"/>
        <w:jc w:val="both"/>
      </w:pPr>
      <w:r>
        <w:rPr>
          <w:rFonts w:ascii="Times New Roman" w:cs="Times New Roman" w:eastAsia="Times New Roman" w:hAnsi="Times New Roman"/>
          <w:sz w:val="21"/>
          <w:szCs w:val="21"/>
        </w:rPr>
        <w:t xml:space="preserve">公司围绕三个方面推进转型。在空间运营方面，将门店改造为集阅读、咖啡与自习于一体的复合空间，并推出付费会员自习区。在内容方面，联合本地作者与教育机构，定期举办读书会、写作工作坊与亲子活动，形成稳定的文化活动品牌。在会员运营方面，搭建线上社群，通过积分与专属活动提升复购与黏性，使书店从单纯零售场所转变为社区文化聚点。</w:t>
      </w:r>
    </w:p>
    <w:p>
      <w:pPr>
        <w:spacing w:after="40" w:before="150" w:line="264"/>
      </w:pPr>
      <w:r>
        <w:rPr>
          <w:rFonts w:ascii="Times New Roman" w:cs="Times New Roman" w:eastAsia="Times New Roman" w:hAnsi="Times New Roman"/>
          <w:b/>
          <w:bCs/>
          <w:sz w:val="22"/>
          <w:szCs w:val="22"/>
        </w:rPr>
        <w:t xml:space="preserve">3. 成果与影响</w:t>
      </w:r>
    </w:p>
    <w:p>
      <w:pPr>
        <w:spacing w:after="40" w:before="0" w:line="282"/>
        <w:jc w:val="both"/>
      </w:pPr>
      <w:r>
        <w:rPr>
          <w:rFonts w:ascii="Times New Roman" w:cs="Times New Roman" w:eastAsia="Times New Roman" w:hAnsi="Times New Roman"/>
          <w:sz w:val="21"/>
          <w:szCs w:val="21"/>
        </w:rPr>
        <w:t xml:space="preserve">转型一年内，门店整体营收增长28%，其中非图书业务（咖啡、自习、活动）收入占比达到45%。付费会员突破6,000人，会员复购率提升至76%。通过活动引流，工作日到店客流增长约30%，四家门店全部实现扭亏为盈。</w:t>
      </w:r>
    </w:p>
    <w:p>
      <w:pPr>
        <w:spacing w:after="40" w:before="150" w:line="264"/>
      </w:pPr>
      <w:r>
        <w:rPr>
          <w:rFonts w:ascii="Times New Roman" w:cs="Times New Roman" w:eastAsia="Times New Roman" w:hAnsi="Times New Roman"/>
          <w:b/>
          <w:bCs/>
          <w:sz w:val="22"/>
          <w:szCs w:val="22"/>
        </w:rPr>
        <w:t xml:space="preserve">4. 启示与未来方向</w:t>
      </w:r>
    </w:p>
    <w:p>
      <w:pPr>
        <w:spacing w:after="40" w:before="0" w:line="282"/>
        <w:jc w:val="both"/>
      </w:pPr>
      <w:r>
        <w:rPr>
          <w:rFonts w:ascii="Times New Roman" w:cs="Times New Roman" w:eastAsia="Times New Roman" w:hAnsi="Times New Roman"/>
          <w:sz w:val="21"/>
          <w:szCs w:val="21"/>
        </w:rPr>
        <w:t xml:space="preserve">青苗的实践表明，实体书店的价值不止于卖书，更在于经营人与人之间的连接。展望未来，公司计划在成都新开两家复合门店，开发面向学校的阅读课程，并尝试以联营方式将社区书店模式推广到周边城市。</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Presentation Submission Form</dc:title>
  <dc:creator>K-Management</dc:creator>
  <cp:lastModifiedBy>Un-named</cp:lastModifiedBy>
  <cp:revision>1</cp:revision>
  <dcterms:created xsi:type="dcterms:W3CDTF">2026-07-20T10:00:52.565Z</dcterms:created>
  <dcterms:modified xsi:type="dcterms:W3CDTF">2026-07-20T10:00:52.581Z</dcterms:modified>
</cp:coreProperties>
</file>

<file path=docProps/custom.xml><?xml version="1.0" encoding="utf-8"?>
<Properties xmlns="http://schemas.openxmlformats.org/officeDocument/2006/custom-properties" xmlns:vt="http://schemas.openxmlformats.org/officeDocument/2006/docPropsVTypes"/>
</file>